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D7C4" w14:textId="77777777" w:rsidR="000F4E39" w:rsidRDefault="000F4E39">
      <w:pPr>
        <w:pStyle w:val="Didefault"/>
        <w:rPr>
          <w:rFonts w:ascii="Helvetica" w:hAnsi="Helvetica"/>
          <w:sz w:val="32"/>
          <w:szCs w:val="32"/>
          <w:shd w:val="clear" w:color="auto" w:fill="FFFFFF"/>
        </w:rPr>
      </w:pPr>
    </w:p>
    <w:p w14:paraId="43ED41E9" w14:textId="1BDD4594" w:rsidR="000F4E39" w:rsidRDefault="00E71209">
      <w:pPr>
        <w:pStyle w:val="Didefault"/>
        <w:spacing w:line="312" w:lineRule="auto"/>
        <w:rPr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  <w:shd w:val="clear" w:color="auto" w:fill="FFFFFF"/>
        </w:rPr>
        <w:t xml:space="preserve">Avviso agli studenti </w:t>
      </w:r>
    </w:p>
    <w:p w14:paraId="00065AF8" w14:textId="77777777" w:rsidR="000F4E39" w:rsidRDefault="000F4E3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14:paraId="0EDC8EF9" w14:textId="4E1F00B4" w:rsidR="000F4E39" w:rsidRDefault="00E7120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Si avvisano gli studenti interessati che</w:t>
      </w:r>
      <w:r w:rsidR="00415A5A">
        <w:rPr>
          <w:rFonts w:ascii="Arial" w:hAnsi="Arial"/>
          <w:sz w:val="24"/>
          <w:szCs w:val="24"/>
          <w:shd w:val="clear" w:color="auto" w:fill="FFFFFF"/>
        </w:rPr>
        <w:t>,</w:t>
      </w:r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a seguito di delibera del Consiglio di Corso di Studi del 10.</w:t>
      </w:r>
      <w:r w:rsidR="00415A5A">
        <w:rPr>
          <w:rFonts w:ascii="Arial" w:hAnsi="Arial"/>
          <w:b/>
          <w:bCs/>
          <w:sz w:val="24"/>
          <w:szCs w:val="24"/>
          <w:shd w:val="clear" w:color="auto" w:fill="FFFFFF"/>
        </w:rPr>
        <w:t>0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7.2024</w:t>
      </w:r>
      <w:r>
        <w:rPr>
          <w:rFonts w:ascii="Arial" w:hAnsi="Arial"/>
          <w:sz w:val="24"/>
          <w:szCs w:val="24"/>
          <w:shd w:val="clear" w:color="auto" w:fill="FFFFFF"/>
        </w:rPr>
        <w:t>,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 a partire dal 1°settembre 2024 </w:t>
      </w:r>
      <w:r w:rsidRPr="00415A5A">
        <w:rPr>
          <w:rFonts w:ascii="Arial" w:hAnsi="Arial"/>
          <w:b/>
          <w:bCs/>
          <w:sz w:val="24"/>
          <w:szCs w:val="24"/>
          <w:shd w:val="clear" w:color="auto" w:fill="FFFFFF"/>
        </w:rPr>
        <w:t>e indipendentemente dalla coorte di appartenen</w:t>
      </w:r>
      <w:r w:rsidRPr="00415A5A">
        <w:rPr>
          <w:rFonts w:ascii="Arial" w:hAnsi="Arial"/>
          <w:b/>
          <w:bCs/>
          <w:sz w:val="24"/>
          <w:szCs w:val="24"/>
        </w:rPr>
        <w:t>za</w:t>
      </w:r>
      <w:r>
        <w:rPr>
          <w:rFonts w:ascii="Arial" w:hAnsi="Arial"/>
          <w:sz w:val="24"/>
          <w:szCs w:val="24"/>
        </w:rPr>
        <w:t xml:space="preserve">, sono intervenute le </w:t>
      </w:r>
      <w:r w:rsidR="00415A5A">
        <w:rPr>
          <w:rFonts w:ascii="Arial" w:hAnsi="Arial"/>
          <w:sz w:val="24"/>
          <w:szCs w:val="24"/>
        </w:rPr>
        <w:t>modifiche che seguono.</w:t>
      </w:r>
    </w:p>
    <w:p w14:paraId="3E65A6BF" w14:textId="77777777" w:rsidR="000F4E39" w:rsidRDefault="000F4E39">
      <w:pPr>
        <w:pStyle w:val="Didefault"/>
        <w:spacing w:line="312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14:paraId="5CBACF09" w14:textId="77777777" w:rsidR="000F4E39" w:rsidRDefault="000F4E39">
      <w:pPr>
        <w:pStyle w:val="Didefault"/>
        <w:spacing w:line="312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14:paraId="05A5783F" w14:textId="77777777" w:rsidR="000F4E39" w:rsidRDefault="00E71209">
      <w:pPr>
        <w:pStyle w:val="Didefault"/>
        <w:numPr>
          <w:ilvl w:val="0"/>
          <w:numId w:val="1"/>
        </w:numPr>
        <w:spacing w:line="312" w:lineRule="auto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ACCORPAMENTO DI DUE ANNUALITÀ DI TIROCINIO</w:t>
      </w:r>
    </w:p>
    <w:p w14:paraId="3802B28C" w14:textId="77777777" w:rsidR="000F4E39" w:rsidRDefault="000F4E39">
      <w:pPr>
        <w:pStyle w:val="Didefault"/>
        <w:spacing w:line="312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14:paraId="5A887E66" w14:textId="337D9305" w:rsidR="000F4E39" w:rsidRDefault="00E7120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Gli studenti delle annualità T1 e T2 che abbiano acquisito, entro il 30 settembre di ogni anno accademico, il numero congruo di crediti complessivi tra insegnamenti e attività di tirocinio (140 </w:t>
      </w:r>
      <w:r w:rsidR="00401646">
        <w:rPr>
          <w:rFonts w:ascii="Arial" w:hAnsi="Arial"/>
          <w:sz w:val="24"/>
          <w:szCs w:val="24"/>
          <w:shd w:val="clear" w:color="auto" w:fill="FFFFFF"/>
        </w:rPr>
        <w:t>CFU</w:t>
      </w:r>
      <w:r>
        <w:rPr>
          <w:rFonts w:ascii="Arial" w:hAnsi="Arial"/>
          <w:sz w:val="24"/>
          <w:szCs w:val="24"/>
          <w:shd w:val="clear" w:color="auto" w:fill="FFFFFF"/>
        </w:rPr>
        <w:t xml:space="preserve"> T1+T2 e 199 </w:t>
      </w:r>
      <w:r w:rsidR="00401646">
        <w:rPr>
          <w:rFonts w:ascii="Arial" w:hAnsi="Arial"/>
          <w:sz w:val="24"/>
          <w:szCs w:val="24"/>
          <w:shd w:val="clear" w:color="auto" w:fill="FFFFFF"/>
        </w:rPr>
        <w:t>CFU</w:t>
      </w:r>
      <w:r>
        <w:rPr>
          <w:rFonts w:ascii="Arial" w:hAnsi="Arial"/>
          <w:sz w:val="24"/>
          <w:szCs w:val="24"/>
          <w:shd w:val="clear" w:color="auto" w:fill="FFFFFF"/>
        </w:rPr>
        <w:t xml:space="preserve"> T2+T3), possono richiedere l’accorpamento di due annualità di tirocinio.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 Non è possibile accorpare T3 e T4.</w:t>
      </w:r>
      <w:r>
        <w:rPr>
          <w:rFonts w:ascii="Arial" w:hAnsi="Arial"/>
          <w:sz w:val="24"/>
          <w:szCs w:val="24"/>
        </w:rPr>
        <w:t> Le modalità di richiesta di accorpamento rimangono le stesse.</w:t>
      </w:r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</w:p>
    <w:p w14:paraId="4165EB37" w14:textId="77777777" w:rsidR="000F4E39" w:rsidRDefault="000F4E3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14:paraId="7DFD86DA" w14:textId="77777777" w:rsidR="000F4E39" w:rsidRDefault="00E71209">
      <w:pPr>
        <w:pStyle w:val="Didefault"/>
        <w:numPr>
          <w:ilvl w:val="0"/>
          <w:numId w:val="7"/>
        </w:numPr>
        <w:spacing w:line="312" w:lineRule="auto"/>
        <w:jc w:val="both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RICONOSCIMENTO CREDITI ORARI</w:t>
      </w:r>
    </w:p>
    <w:p w14:paraId="022B4C4A" w14:textId="77777777" w:rsidR="000F4E39" w:rsidRDefault="000F4E3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14:paraId="521A665C" w14:textId="5359D98B" w:rsidR="000F4E39" w:rsidRDefault="00E7120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Gli studenti che svolgono attività lavorativa nell’ambito della scuola in qualità di docente hanno diritto al riconoscimento del servizio come tirocinio diretto per l’ordine in cui lavorano.</w:t>
      </w:r>
      <w:r w:rsidR="00BB5645">
        <w:rPr>
          <w:rFonts w:ascii="Arial" w:hAnsi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/>
          <w:sz w:val="24"/>
          <w:szCs w:val="24"/>
          <w:shd w:val="clear" w:color="auto" w:fill="FFFFFF"/>
        </w:rPr>
        <w:t>Sar</w:t>
      </w:r>
      <w:r w:rsidR="00415A5A">
        <w:rPr>
          <w:rFonts w:ascii="Arial" w:hAnsi="Arial"/>
          <w:sz w:val="24"/>
          <w:szCs w:val="24"/>
          <w:shd w:val="clear" w:color="auto" w:fill="FFFFFF"/>
        </w:rPr>
        <w:t>à</w:t>
      </w:r>
      <w:r>
        <w:rPr>
          <w:rFonts w:ascii="Arial" w:hAnsi="Arial"/>
          <w:sz w:val="24"/>
          <w:szCs w:val="24"/>
          <w:shd w:val="clear" w:color="auto" w:fill="FFFFFF"/>
        </w:rPr>
        <w:t xml:space="preserve"> valid</w:t>
      </w:r>
      <w:r w:rsidR="00415A5A">
        <w:rPr>
          <w:rFonts w:ascii="Arial" w:hAnsi="Arial"/>
          <w:sz w:val="24"/>
          <w:szCs w:val="24"/>
          <w:shd w:val="clear" w:color="auto" w:fill="FFFFFF"/>
        </w:rPr>
        <w:t>o</w:t>
      </w:r>
      <w:r>
        <w:rPr>
          <w:rFonts w:ascii="Arial" w:hAnsi="Arial"/>
          <w:sz w:val="24"/>
          <w:szCs w:val="24"/>
          <w:shd w:val="clear" w:color="auto" w:fill="FFFFFF"/>
        </w:rPr>
        <w:t>, ai fini del riconoscimento, i</w:t>
      </w:r>
      <w:r w:rsidR="00415A5A">
        <w:rPr>
          <w:rFonts w:ascii="Arial" w:hAnsi="Arial"/>
          <w:sz w:val="24"/>
          <w:szCs w:val="24"/>
          <w:shd w:val="clear" w:color="auto" w:fill="FFFFFF"/>
        </w:rPr>
        <w:t>l</w:t>
      </w:r>
      <w:r>
        <w:rPr>
          <w:rFonts w:ascii="Arial" w:hAnsi="Arial"/>
          <w:sz w:val="24"/>
          <w:szCs w:val="24"/>
          <w:shd w:val="clear" w:color="auto" w:fill="FFFFFF"/>
        </w:rPr>
        <w:t xml:space="preserve"> contratt</w:t>
      </w:r>
      <w:r w:rsidR="00415A5A">
        <w:rPr>
          <w:rFonts w:ascii="Arial" w:hAnsi="Arial"/>
          <w:sz w:val="24"/>
          <w:szCs w:val="24"/>
          <w:shd w:val="clear" w:color="auto" w:fill="FFFFFF"/>
        </w:rPr>
        <w:t>o</w:t>
      </w:r>
      <w:r>
        <w:rPr>
          <w:rFonts w:ascii="Arial" w:hAnsi="Arial"/>
          <w:sz w:val="24"/>
          <w:szCs w:val="24"/>
          <w:shd w:val="clear" w:color="auto" w:fill="FFFFFF"/>
        </w:rPr>
        <w:t xml:space="preserve"> di lavoro della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durata non inferiore ai 120 giorni continuativi</w:t>
      </w:r>
      <w:r>
        <w:rPr>
          <w:rFonts w:ascii="Arial" w:hAnsi="Arial"/>
          <w:sz w:val="24"/>
          <w:szCs w:val="24"/>
          <w:shd w:val="clear" w:color="auto" w:fill="FFFFFF"/>
        </w:rPr>
        <w:t>,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 stipulat</w:t>
      </w:r>
      <w:r w:rsidR="00BB5645"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o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entro il 31 dicembre di ogni anno, con un mini</w:t>
      </w:r>
      <w:r>
        <w:rPr>
          <w:rFonts w:ascii="Arial" w:hAnsi="Arial"/>
          <w:b/>
          <w:bCs/>
          <w:sz w:val="24"/>
          <w:szCs w:val="24"/>
        </w:rPr>
        <w:t>mo di 12 ore settimanali</w:t>
      </w:r>
      <w:r w:rsidR="00BB5645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="00BB5645">
        <w:rPr>
          <w:rFonts w:ascii="Arial" w:hAnsi="Arial"/>
          <w:sz w:val="24"/>
          <w:szCs w:val="24"/>
        </w:rPr>
        <w:t xml:space="preserve">Il servizio deve essere </w:t>
      </w:r>
      <w:r>
        <w:rPr>
          <w:rFonts w:ascii="Arial" w:hAnsi="Arial"/>
          <w:sz w:val="24"/>
          <w:szCs w:val="24"/>
        </w:rPr>
        <w:t>prestat</w:t>
      </w:r>
      <w:r w:rsidR="00BB5645"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nella scuola primaria o nell</w:t>
      </w:r>
      <w:r w:rsidR="00415A5A">
        <w:rPr>
          <w:rFonts w:ascii="Arial" w:hAnsi="Arial"/>
          <w:sz w:val="24"/>
          <w:szCs w:val="24"/>
        </w:rPr>
        <w:t>a scuola dell</w:t>
      </w:r>
      <w:r>
        <w:rPr>
          <w:rFonts w:ascii="Arial" w:hAnsi="Arial"/>
          <w:sz w:val="24"/>
          <w:szCs w:val="24"/>
        </w:rPr>
        <w:t xml:space="preserve">’infanzia </w:t>
      </w:r>
      <w:r>
        <w:rPr>
          <w:rFonts w:ascii="Arial" w:eastAsia="Arial" w:hAnsi="Arial" w:cs="Arial"/>
          <w:sz w:val="24"/>
          <w:szCs w:val="24"/>
        </w:rPr>
        <w:t>statal</w:t>
      </w:r>
      <w:r w:rsidR="00415A5A">
        <w:rPr>
          <w:rFonts w:ascii="Arial" w:eastAsia="Arial" w:hAnsi="Arial" w:cs="Arial"/>
          <w:sz w:val="24"/>
          <w:szCs w:val="24"/>
        </w:rPr>
        <w:t>i</w:t>
      </w:r>
      <w:r>
        <w:rPr>
          <w:rFonts w:ascii="Times New Roman" w:eastAsia="Arial" w:hAnsi="Times New Roman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Arial" w:hAnsi="Times New Roman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paritari</w:t>
      </w:r>
      <w:r w:rsidR="00415A5A"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Arial" w:hAnsi="Times New Roman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incarico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posto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comune,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lingua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inglese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sostegno.</w:t>
      </w:r>
      <w:r>
        <w:rPr>
          <w:rFonts w:ascii="Arial" w:hAnsi="Arial"/>
          <w:sz w:val="24"/>
          <w:szCs w:val="24"/>
        </w:rPr>
        <w:t xml:space="preserve"> </w:t>
      </w:r>
    </w:p>
    <w:p w14:paraId="59D5A918" w14:textId="32770A92" w:rsidR="000F4E39" w:rsidRDefault="00E7120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Per servizio prestato si intende il</w:t>
      </w:r>
      <w:r w:rsidR="00415A5A">
        <w:rPr>
          <w:rFonts w:ascii="Arial" w:hAnsi="Arial"/>
          <w:sz w:val="24"/>
          <w:szCs w:val="24"/>
          <w:shd w:val="clear" w:color="auto" w:fill="FFFFFF"/>
        </w:rPr>
        <w:t xml:space="preserve"> servizio effettivo </w:t>
      </w:r>
      <w:r>
        <w:rPr>
          <w:rFonts w:ascii="Arial" w:hAnsi="Arial"/>
          <w:sz w:val="24"/>
          <w:szCs w:val="24"/>
          <w:shd w:val="clear" w:color="auto" w:fill="FFFFFF"/>
        </w:rPr>
        <w:t xml:space="preserve">(sabati, domeniche e festivi compresi) escludendo i giorni di assenza. </w:t>
      </w:r>
    </w:p>
    <w:p w14:paraId="74C4EE1C" w14:textId="77777777" w:rsidR="000F4E39" w:rsidRDefault="00E7120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Non è valutabile il servizio pregresso, ma solo quello dell’anno scolastico in corso. </w:t>
      </w:r>
    </w:p>
    <w:p w14:paraId="41EF93B2" w14:textId="77777777" w:rsidR="000F4E39" w:rsidRDefault="00E7120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</w:rPr>
        <w:t xml:space="preserve">I crediti orari vengono riconosciuti esclusivamente per il </w:t>
      </w:r>
      <w:r>
        <w:rPr>
          <w:rFonts w:ascii="Arial" w:eastAsia="Arial" w:hAnsi="Arial" w:cs="Arial"/>
          <w:b/>
          <w:bCs/>
          <w:sz w:val="24"/>
          <w:szCs w:val="24"/>
          <w:shd w:val="clear" w:color="auto" w:fill="FFFFFF"/>
        </w:rPr>
        <w:t>servizio continuativo</w:t>
      </w:r>
      <w:r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prestato nell’ordine di scuola per il quale vengono richiesti. </w:t>
      </w:r>
    </w:p>
    <w:p w14:paraId="06F1A3F3" w14:textId="784D5EF3" w:rsidR="0078420F" w:rsidRDefault="0078420F">
      <w:pPr>
        <w:pStyle w:val="Didefault"/>
        <w:spacing w:line="312" w:lineRule="auto"/>
        <w:jc w:val="both"/>
        <w:rPr>
          <w:rFonts w:ascii="Arial" w:hAnsi="Arial"/>
          <w:sz w:val="24"/>
          <w:szCs w:val="24"/>
          <w:shd w:val="clear" w:color="auto" w:fill="FFFFFF"/>
        </w:rPr>
      </w:pPr>
      <w:r w:rsidRPr="0078420F">
        <w:rPr>
          <w:rFonts w:ascii="Arial" w:hAnsi="Arial"/>
          <w:b/>
          <w:bCs/>
          <w:sz w:val="24"/>
          <w:szCs w:val="24"/>
          <w:shd w:val="clear" w:color="auto" w:fill="FFFFFF"/>
        </w:rPr>
        <w:t>L’autocertificazione del contratto di lavoro</w:t>
      </w:r>
      <w:r>
        <w:rPr>
          <w:rFonts w:ascii="Arial" w:hAnsi="Arial"/>
          <w:sz w:val="24"/>
          <w:szCs w:val="24"/>
          <w:shd w:val="clear" w:color="auto" w:fill="FFFFFF"/>
        </w:rPr>
        <w:t xml:space="preserve"> andrà inoltrata secondo le indicazioni che verranno fornite dai tutor di annualità. </w:t>
      </w:r>
    </w:p>
    <w:p w14:paraId="31820B13" w14:textId="09546D4C" w:rsidR="000F4E39" w:rsidRDefault="00E7120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Si conferma l’obbligatorietà della produzione dei materiali e della documentazione prevista dall’</w:t>
      </w:r>
      <w:r w:rsidRPr="00415A5A">
        <w:rPr>
          <w:rFonts w:ascii="Arial" w:hAnsi="Arial"/>
          <w:sz w:val="24"/>
          <w:szCs w:val="24"/>
          <w:shd w:val="clear" w:color="auto" w:fill="FFFFFF"/>
        </w:rPr>
        <w:t>annualit</w:t>
      </w:r>
      <w:r>
        <w:rPr>
          <w:rFonts w:ascii="Arial" w:hAnsi="Arial"/>
          <w:sz w:val="24"/>
          <w:szCs w:val="24"/>
          <w:shd w:val="clear" w:color="auto" w:fill="FFFFFF"/>
        </w:rPr>
        <w:t xml:space="preserve">à di tirocinio per l’ordine di scuola nel quale è stato riconosciuto il servizio secondo i criteri illustrati nel corso del tirocinio indiretto. </w:t>
      </w:r>
    </w:p>
    <w:p w14:paraId="64EFA8E6" w14:textId="73E8A519" w:rsidR="000F4E39" w:rsidRDefault="00E7120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Come precedentemente indicato, il servizio prestato nell’anno scolastico in corso in qualità di insegnanti nelle scuole primarie e dell’infanzia, regolarmente documentato con autocertificazione di servizio, v</w:t>
      </w:r>
      <w:r w:rsidR="0078420F">
        <w:rPr>
          <w:rFonts w:ascii="Arial" w:hAnsi="Arial"/>
          <w:sz w:val="24"/>
          <w:szCs w:val="24"/>
          <w:shd w:val="clear" w:color="auto" w:fill="FFFFFF"/>
        </w:rPr>
        <w:t>errà</w:t>
      </w:r>
      <w:r>
        <w:rPr>
          <w:rFonts w:ascii="Arial" w:hAnsi="Arial"/>
          <w:sz w:val="24"/>
          <w:szCs w:val="24"/>
          <w:shd w:val="clear" w:color="auto" w:fill="FFFFFF"/>
        </w:rPr>
        <w:t xml:space="preserve"> riconosciuto come credito orario secondo le indicazioni presentate nella tabella sottostante.</w:t>
      </w:r>
    </w:p>
    <w:p w14:paraId="592F66F4" w14:textId="77777777" w:rsidR="000F4E39" w:rsidRDefault="000F4E3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14:paraId="0A8D91F5" w14:textId="77777777" w:rsidR="000F4E39" w:rsidRDefault="00E71209">
      <w:pPr>
        <w:pStyle w:val="Didefault"/>
        <w:spacing w:line="312" w:lineRule="auto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b/>
          <w:bCs/>
          <w:sz w:val="20"/>
          <w:szCs w:val="20"/>
          <w:shd w:val="clear" w:color="auto" w:fill="FFFFFF"/>
        </w:rPr>
        <w:lastRenderedPageBreak/>
        <w:t>Tabella</w:t>
      </w:r>
      <w:r>
        <w:rPr>
          <w:rFonts w:ascii="Arial" w:hAnsi="Arial"/>
          <w:sz w:val="20"/>
          <w:szCs w:val="20"/>
          <w:shd w:val="clear" w:color="auto" w:fill="FFFFFF"/>
        </w:rPr>
        <w:t xml:space="preserve"> - Riduzioni del tirocinio diretto su maturazione di 120 giorni di servizio continuativo e sulla base del numero di ore settimanali previste dal contratto di lavoro. </w:t>
      </w:r>
    </w:p>
    <w:p w14:paraId="74252C62" w14:textId="77777777" w:rsidR="000F4E39" w:rsidRDefault="000F4E39">
      <w:pPr>
        <w:pStyle w:val="Didefault"/>
        <w:spacing w:line="312" w:lineRule="auto"/>
        <w:rPr>
          <w:rFonts w:ascii="Arial" w:eastAsia="Arial" w:hAnsi="Arial" w:cs="Arial"/>
          <w:sz w:val="20"/>
          <w:szCs w:val="20"/>
          <w:shd w:val="clear" w:color="auto" w:fill="FFFFFF"/>
        </w:rPr>
      </w:pPr>
    </w:p>
    <w:tbl>
      <w:tblPr>
        <w:tblStyle w:val="TableNormal"/>
        <w:tblW w:w="9632" w:type="dxa"/>
        <w:tblInd w:w="191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0F4E39" w:rsidRPr="00A22562" w14:paraId="4BCE1172" w14:textId="77777777">
        <w:trPr>
          <w:trHeight w:val="295"/>
          <w:tblHeader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14:paraId="51249746" w14:textId="77777777" w:rsidR="000F4E39" w:rsidRDefault="00E71209">
            <w:pPr>
              <w:pStyle w:val="Stiletabella1"/>
              <w:widowControl w:val="0"/>
              <w:jc w:val="center"/>
            </w:pPr>
            <w:r>
              <w:t>Ore settimanali di servizio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14:paraId="03CC3306" w14:textId="77777777" w:rsidR="000F4E39" w:rsidRDefault="00E71209">
            <w:pPr>
              <w:pStyle w:val="Stiletabella1"/>
              <w:widowControl w:val="0"/>
              <w:jc w:val="center"/>
            </w:pPr>
            <w:r>
              <w:t>Percentuale di riduzione del tirocinio diretto</w:t>
            </w:r>
          </w:p>
        </w:tc>
      </w:tr>
      <w:tr w:rsidR="000F4E39" w14:paraId="07AB85B9" w14:textId="77777777">
        <w:trPr>
          <w:trHeight w:val="295"/>
        </w:trPr>
        <w:tc>
          <w:tcPr>
            <w:tcW w:w="48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14:paraId="3B8018F5" w14:textId="77777777" w:rsidR="000F4E39" w:rsidRDefault="00E71209">
            <w:pPr>
              <w:pStyle w:val="Stiletabella1"/>
              <w:widowControl w:val="0"/>
              <w:jc w:val="center"/>
            </w:pPr>
            <w:r>
              <w:rPr>
                <w:b w:val="0"/>
                <w:bCs w:val="0"/>
              </w:rPr>
              <w:t>da 12 a 25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4A40FA" w14:textId="77777777" w:rsidR="000F4E39" w:rsidRDefault="00E71209">
            <w:pPr>
              <w:pStyle w:val="Stiletabella2"/>
              <w:widowControl w:val="0"/>
              <w:jc w:val="center"/>
            </w:pPr>
            <w:r>
              <w:t>100%</w:t>
            </w:r>
          </w:p>
        </w:tc>
      </w:tr>
    </w:tbl>
    <w:p w14:paraId="5A35C7F2" w14:textId="77777777" w:rsidR="000F4E39" w:rsidRDefault="000F4E39">
      <w:pPr>
        <w:pStyle w:val="Didefault"/>
        <w:spacing w:line="312" w:lineRule="auto"/>
        <w:rPr>
          <w:rFonts w:ascii="Arial" w:eastAsia="Arial" w:hAnsi="Arial" w:cs="Arial"/>
          <w:sz w:val="32"/>
          <w:szCs w:val="32"/>
          <w:shd w:val="clear" w:color="auto" w:fill="FFFFFF"/>
        </w:rPr>
      </w:pPr>
    </w:p>
    <w:p w14:paraId="5C448287" w14:textId="75481298" w:rsidR="000F4E39" w:rsidRDefault="000F4E39" w:rsidP="00401646">
      <w:pPr>
        <w:pStyle w:val="Didefault"/>
        <w:spacing w:line="312" w:lineRule="auto"/>
        <w:ind w:right="9998"/>
        <w:rPr>
          <w:rFonts w:ascii="Arial" w:eastAsia="Arial" w:hAnsi="Arial" w:cs="Arial"/>
          <w:sz w:val="29"/>
          <w:szCs w:val="29"/>
        </w:rPr>
      </w:pPr>
    </w:p>
    <w:p w14:paraId="4B50594C" w14:textId="77777777" w:rsidR="000F4E39" w:rsidRDefault="00E71209">
      <w:pPr>
        <w:pStyle w:val="Didefault"/>
        <w:numPr>
          <w:ilvl w:val="0"/>
          <w:numId w:val="10"/>
        </w:numPr>
        <w:spacing w:line="312" w:lineRule="auto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MONITORAGGIO E VALUTAZIONE DEL TIROCINIO</w:t>
      </w:r>
    </w:p>
    <w:p w14:paraId="647E93CC" w14:textId="77777777" w:rsidR="000F4E39" w:rsidRDefault="000F4E39">
      <w:pPr>
        <w:pStyle w:val="Didefault"/>
        <w:spacing w:line="312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14:paraId="66F8D51F" w14:textId="0EA82542" w:rsidR="000F4E39" w:rsidRDefault="00E7120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La valutazione del tirocinio è inerente </w:t>
      </w:r>
      <w:r w:rsidR="00415A5A">
        <w:rPr>
          <w:rFonts w:ascii="Arial" w:hAnsi="Arial"/>
          <w:sz w:val="24"/>
          <w:szCs w:val="24"/>
          <w:shd w:val="clear" w:color="auto" w:fill="FFFFFF"/>
        </w:rPr>
        <w:t>al</w:t>
      </w:r>
      <w:r>
        <w:rPr>
          <w:rFonts w:ascii="Arial" w:hAnsi="Arial"/>
          <w:sz w:val="24"/>
          <w:szCs w:val="24"/>
          <w:shd w:val="clear" w:color="auto" w:fill="FFFFFF"/>
        </w:rPr>
        <w:t xml:space="preserve"> percorso esperito e documentato dallo studente secondo gli indicatori quantitativi e qualitativi definiti nel 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Syllabus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di ciascuna annualità</w:t>
      </w:r>
      <w:r w:rsidR="00415A5A">
        <w:rPr>
          <w:rFonts w:ascii="Arial" w:hAnsi="Arial"/>
          <w:sz w:val="24"/>
          <w:szCs w:val="24"/>
          <w:shd w:val="clear" w:color="auto" w:fill="FFFFFF"/>
        </w:rPr>
        <w:t>.</w:t>
      </w:r>
    </w:p>
    <w:p w14:paraId="7314E232" w14:textId="77777777" w:rsidR="000F4E39" w:rsidRDefault="000F4E3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14:paraId="03369380" w14:textId="77777777" w:rsidR="000F4E39" w:rsidRDefault="000F4E39">
      <w:pPr>
        <w:pStyle w:val="Didefault"/>
        <w:spacing w:line="312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14:paraId="5FC54860" w14:textId="77777777" w:rsidR="000F4E39" w:rsidRDefault="00E71209">
      <w:pPr>
        <w:pStyle w:val="Didefault"/>
        <w:spacing w:line="312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</w:rPr>
        <w:t xml:space="preserve">Si ricorda inoltre che: </w:t>
      </w:r>
    </w:p>
    <w:p w14:paraId="2E767188" w14:textId="665FB504" w:rsidR="000F4E39" w:rsidRDefault="00E71209">
      <w:pPr>
        <w:pStyle w:val="Didefault"/>
        <w:spacing w:line="312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per poter frequentare il T1 lo studente deve aver concluso il T0</w:t>
      </w:r>
      <w:r>
        <w:rPr>
          <w:rFonts w:ascii="Arial" w:hAnsi="Arial"/>
          <w:sz w:val="24"/>
          <w:szCs w:val="24"/>
        </w:rPr>
        <w:t xml:space="preserve">; le assenze T0 e T1 </w:t>
      </w:r>
      <w:r>
        <w:rPr>
          <w:rFonts w:ascii="Arial" w:hAnsi="Arial"/>
          <w:b/>
          <w:bCs/>
          <w:sz w:val="24"/>
          <w:szCs w:val="24"/>
        </w:rPr>
        <w:t>NON sono cumulabili</w:t>
      </w:r>
      <w:r w:rsidR="00415A5A">
        <w:rPr>
          <w:rFonts w:ascii="Arial" w:hAnsi="Arial"/>
          <w:b/>
          <w:bCs/>
          <w:sz w:val="24"/>
          <w:szCs w:val="24"/>
        </w:rPr>
        <w:t>.</w:t>
      </w:r>
    </w:p>
    <w:p w14:paraId="10EE330B" w14:textId="77777777" w:rsidR="000F4E39" w:rsidRDefault="000F4E39">
      <w:pPr>
        <w:pStyle w:val="Didefault"/>
        <w:spacing w:line="312" w:lineRule="auto"/>
        <w:rPr>
          <w:rFonts w:ascii="Arial" w:hAnsi="Arial"/>
          <w:b/>
          <w:bCs/>
          <w:sz w:val="24"/>
          <w:szCs w:val="24"/>
        </w:rPr>
      </w:pPr>
    </w:p>
    <w:p w14:paraId="1D28EF29" w14:textId="77777777" w:rsidR="000F4E39" w:rsidRDefault="000F4E39">
      <w:pPr>
        <w:pStyle w:val="Didefault"/>
        <w:spacing w:line="312" w:lineRule="auto"/>
        <w:rPr>
          <w:rFonts w:ascii="Arial" w:hAnsi="Arial"/>
          <w:b/>
          <w:bCs/>
          <w:sz w:val="24"/>
          <w:szCs w:val="24"/>
        </w:rPr>
      </w:pPr>
    </w:p>
    <w:p w14:paraId="466BBA48" w14:textId="14777020" w:rsidR="000F4E39" w:rsidRDefault="00E71209" w:rsidP="00401646">
      <w:pPr>
        <w:pStyle w:val="Didefault"/>
        <w:numPr>
          <w:ilvl w:val="0"/>
          <w:numId w:val="10"/>
        </w:numPr>
        <w:spacing w:line="312" w:lineRule="auto"/>
      </w:pPr>
      <w:r>
        <w:rPr>
          <w:rFonts w:ascii="Arial" w:hAnsi="Arial"/>
          <w:sz w:val="24"/>
          <w:szCs w:val="24"/>
        </w:rPr>
        <w:t>ANTICIPO TIROCINIO</w:t>
      </w:r>
    </w:p>
    <w:p w14:paraId="2DD63373" w14:textId="44A75C2B" w:rsidR="000F4E39" w:rsidRDefault="00E71209">
      <w:pPr>
        <w:pStyle w:val="Didefault"/>
        <w:spacing w:line="312" w:lineRule="auto"/>
      </w:pPr>
      <w:r>
        <w:rPr>
          <w:rFonts w:ascii="Arial" w:eastAsia="Arial" w:hAnsi="Arial" w:cs="Arial"/>
          <w:sz w:val="24"/>
          <w:szCs w:val="24"/>
        </w:rPr>
        <w:t>L’anticipazione può essere richiesta esclusivamente dagli studenti con riconoscimento di carriera pregressa e con almeno 60 CFU, immatricolati al primo anno di corso</w:t>
      </w:r>
      <w:r w:rsidR="00415A5A">
        <w:rPr>
          <w:rFonts w:ascii="Arial" w:eastAsia="Arial" w:hAnsi="Arial" w:cs="Arial"/>
          <w:sz w:val="24"/>
          <w:szCs w:val="24"/>
        </w:rPr>
        <w:t>.</w:t>
      </w:r>
    </w:p>
    <w:p w14:paraId="0D808DB6" w14:textId="77777777" w:rsidR="000F4E39" w:rsidRPr="00415A5A" w:rsidRDefault="00E71209">
      <w:pPr>
        <w:pStyle w:val="Corpotesto"/>
        <w:tabs>
          <w:tab w:val="left" w:pos="6728"/>
        </w:tabs>
        <w:spacing w:before="1" w:after="0" w:line="240" w:lineRule="auto"/>
        <w:rPr>
          <w:lang w:val="it-IT"/>
        </w:rPr>
      </w:pPr>
      <w:r w:rsidRPr="00415A5A">
        <w:rPr>
          <w:rFonts w:ascii="Arial" w:hAnsi="Arial"/>
          <w:lang w:val="it-IT"/>
        </w:rPr>
        <w:t xml:space="preserve"> </w:t>
      </w:r>
    </w:p>
    <w:p w14:paraId="17C924CF" w14:textId="77777777" w:rsidR="000F4E39" w:rsidRPr="00415A5A" w:rsidRDefault="000F4E39">
      <w:pPr>
        <w:spacing w:line="312" w:lineRule="auto"/>
        <w:rPr>
          <w:lang w:val="it-IT"/>
        </w:rPr>
      </w:pPr>
    </w:p>
    <w:sectPr w:rsidR="000F4E39" w:rsidRPr="00415A5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DF0B" w14:textId="77777777" w:rsidR="001A149E" w:rsidRDefault="001A149E">
      <w:r>
        <w:separator/>
      </w:r>
    </w:p>
  </w:endnote>
  <w:endnote w:type="continuationSeparator" w:id="0">
    <w:p w14:paraId="474BDE31" w14:textId="77777777" w:rsidR="001A149E" w:rsidRDefault="001A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panose1 w:val="020B0604020202020204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3890" w14:textId="77777777" w:rsidR="000F4E39" w:rsidRDefault="000F4E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21BB" w14:textId="77777777" w:rsidR="001A149E" w:rsidRDefault="001A149E">
      <w:r>
        <w:separator/>
      </w:r>
    </w:p>
  </w:footnote>
  <w:footnote w:type="continuationSeparator" w:id="0">
    <w:p w14:paraId="30C1D024" w14:textId="77777777" w:rsidR="001A149E" w:rsidRDefault="001A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7792" w14:textId="77777777" w:rsidR="000F4E39" w:rsidRDefault="000F4E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B2E"/>
    <w:multiLevelType w:val="multilevel"/>
    <w:tmpl w:val="91A4AE6C"/>
    <w:lvl w:ilvl="0">
      <w:start w:val="1"/>
      <w:numFmt w:val="bullet"/>
      <w:lvlText w:val="-"/>
      <w:lvlJc w:val="left"/>
      <w:pPr>
        <w:tabs>
          <w:tab w:val="num" w:pos="0"/>
        </w:tabs>
        <w:ind w:left="349" w:hanging="349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3F142C"/>
    <w:multiLevelType w:val="multilevel"/>
    <w:tmpl w:val="430205E0"/>
    <w:lvl w:ilvl="0">
      <w:start w:val="1"/>
      <w:numFmt w:val="bullet"/>
      <w:lvlText w:val="-"/>
      <w:lvlJc w:val="left"/>
      <w:pPr>
        <w:tabs>
          <w:tab w:val="num" w:pos="0"/>
        </w:tabs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4F04DB"/>
    <w:multiLevelType w:val="multilevel"/>
    <w:tmpl w:val="0A9C6CE4"/>
    <w:lvl w:ilvl="0">
      <w:start w:val="1"/>
      <w:numFmt w:val="bullet"/>
      <w:lvlText w:val="-"/>
      <w:lvlJc w:val="left"/>
      <w:pPr>
        <w:tabs>
          <w:tab w:val="num" w:pos="0"/>
        </w:tabs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AEA611F"/>
    <w:multiLevelType w:val="multilevel"/>
    <w:tmpl w:val="6B1A5494"/>
    <w:lvl w:ilvl="0">
      <w:start w:val="1"/>
      <w:numFmt w:val="bullet"/>
      <w:lvlText w:val="-"/>
      <w:lvlJc w:val="left"/>
      <w:pPr>
        <w:tabs>
          <w:tab w:val="num" w:pos="0"/>
        </w:tabs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8F2544A"/>
    <w:multiLevelType w:val="multilevel"/>
    <w:tmpl w:val="BC84CC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CE00955"/>
    <w:multiLevelType w:val="multilevel"/>
    <w:tmpl w:val="5BBA60A0"/>
    <w:lvl w:ilvl="0">
      <w:start w:val="1"/>
      <w:numFmt w:val="bullet"/>
      <w:lvlText w:val="-"/>
      <w:lvlJc w:val="left"/>
      <w:pPr>
        <w:tabs>
          <w:tab w:val="num" w:pos="0"/>
        </w:tabs>
        <w:ind w:left="349" w:hanging="349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262" w:hanging="262"/>
        </w:pPr>
        <w:rPr>
          <w:rFonts w:ascii="OpenSymbol" w:hAnsi="OpenSymbol" w:cs="OpenSymbo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vertAlign w:val="baseline"/>
        </w:rPr>
      </w:lvl>
    </w:lvlOverride>
  </w:num>
  <w:num w:numId="8">
    <w:abstractNumId w:val="0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262" w:hanging="262"/>
        </w:pPr>
        <w:rPr>
          <w:rFonts w:ascii="OpenSymbol" w:hAnsi="OpenSymbol" w:cs="OpenSymbo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vertAlign w:val="baseline"/>
        </w:rPr>
      </w:lvl>
    </w:lvlOverride>
  </w:num>
  <w:num w:numId="10">
    <w:abstractNumId w:val="0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262" w:hanging="262"/>
        </w:pPr>
        <w:rPr>
          <w:rFonts w:ascii="OpenSymbol" w:hAnsi="OpenSymbol" w:cs="OpenSymbo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39"/>
    <w:rsid w:val="000F4E39"/>
    <w:rsid w:val="001A149E"/>
    <w:rsid w:val="00401646"/>
    <w:rsid w:val="00415A5A"/>
    <w:rsid w:val="00660F9D"/>
    <w:rsid w:val="0078420F"/>
    <w:rsid w:val="0095679C"/>
    <w:rsid w:val="00A22562"/>
    <w:rsid w:val="00B72F9A"/>
    <w:rsid w:val="00BB5645"/>
    <w:rsid w:val="00D90437"/>
    <w:rsid w:val="00E7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E365"/>
  <w15:docId w15:val="{EF685530-7983-4532-B800-1F3674DC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 w:color="FFFFFF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pPr>
      <w:suppressAutoHyphens w:val="0"/>
    </w:pPr>
    <w:rPr>
      <w:rFonts w:ascii="Helvetica Neue" w:hAnsi="Helvetica Neue" w:cs="Arial Unicode MS"/>
      <w:color w:val="000000"/>
      <w:sz w:val="22"/>
      <w:szCs w:val="22"/>
      <w:u w:color="FFFFFF"/>
    </w:rPr>
  </w:style>
  <w:style w:type="paragraph" w:customStyle="1" w:styleId="Stiletabella1">
    <w:name w:val="Stile tabella 1"/>
    <w:qFormat/>
    <w:pPr>
      <w:suppressAutoHyphens w:val="0"/>
    </w:pPr>
    <w:rPr>
      <w:rFonts w:ascii="Helvetica Neue" w:eastAsia="Helvetica Neue" w:hAnsi="Helvetica Neue" w:cs="Helvetica Neue"/>
      <w:b/>
      <w:bCs/>
      <w:color w:val="000000"/>
      <w:u w:color="FFFFFF"/>
    </w:rPr>
  </w:style>
  <w:style w:type="paragraph" w:customStyle="1" w:styleId="Stiletabella2">
    <w:name w:val="Stile tabella 2"/>
    <w:qFormat/>
    <w:pPr>
      <w:suppressAutoHyphens w:val="0"/>
    </w:pPr>
    <w:rPr>
      <w:rFonts w:ascii="Helvetica Neue" w:eastAsia="Helvetica Neue" w:hAnsi="Helvetica Neue" w:cs="Helvetica Neue"/>
      <w:color w:val="000000"/>
      <w:u w:color="FFFFF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ableParagraph">
    <w:name w:val="Table Paragraph"/>
    <w:basedOn w:val="Normale"/>
    <w:qFormat/>
  </w:style>
  <w:style w:type="paragraph" w:styleId="Paragrafoelenco">
    <w:name w:val="List Paragraph"/>
    <w:basedOn w:val="Normale"/>
    <w:qFormat/>
  </w:style>
  <w:style w:type="numbering" w:customStyle="1" w:styleId="Trattino">
    <w:name w:val="Trattino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2703</Characters>
  <Application>Microsoft Office Word</Application>
  <DocSecurity>0</DocSecurity>
  <Lines>47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Vidic</dc:creator>
  <dc:description/>
  <cp:lastModifiedBy>Marina  Camodeca</cp:lastModifiedBy>
  <cp:revision>2</cp:revision>
  <dcterms:created xsi:type="dcterms:W3CDTF">2025-07-09T14:12:00Z</dcterms:created>
  <dcterms:modified xsi:type="dcterms:W3CDTF">2025-07-09T14:12:00Z</dcterms:modified>
  <dc:language>it-IT</dc:language>
</cp:coreProperties>
</file>